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33" w:rsidRPr="000611AF" w:rsidRDefault="00A42233" w:rsidP="00A42233">
      <w:pPr>
        <w:jc w:val="center"/>
        <w:rPr>
          <w:rFonts w:eastAsia="Times"/>
          <w:noProof/>
          <w:sz w:val="36"/>
          <w:szCs w:val="20"/>
        </w:rPr>
      </w:pPr>
      <w:bookmarkStart w:id="0" w:name="_GoBack"/>
      <w:bookmarkEnd w:id="0"/>
      <w:r w:rsidRPr="000611AF">
        <w:rPr>
          <w:rFonts w:eastAsia="Times"/>
          <w:i/>
          <w:noProof/>
          <w:sz w:val="36"/>
          <w:szCs w:val="20"/>
        </w:rPr>
        <w:t>COMUNE DI</w:t>
      </w:r>
      <w:r w:rsidR="001A00BF" w:rsidRPr="000611AF">
        <w:rPr>
          <w:rFonts w:eastAsia="Times"/>
          <w:i/>
          <w:noProof/>
          <w:sz w:val="36"/>
          <w:szCs w:val="20"/>
        </w:rPr>
        <w:t>PERFUGAS</w:t>
      </w:r>
    </w:p>
    <w:p w:rsidR="00A42233" w:rsidRPr="000611AF" w:rsidRDefault="00A42233" w:rsidP="00A42233">
      <w:pPr>
        <w:spacing w:before="240"/>
        <w:jc w:val="center"/>
        <w:rPr>
          <w:rFonts w:eastAsia="Times"/>
          <w:noProof/>
          <w:sz w:val="20"/>
          <w:szCs w:val="20"/>
        </w:rPr>
      </w:pPr>
      <w:r w:rsidRPr="000611AF">
        <w:rPr>
          <w:rFonts w:eastAsia="Times"/>
          <w:i/>
          <w:noProof/>
          <w:sz w:val="28"/>
          <w:szCs w:val="20"/>
        </w:rPr>
        <w:t>PROVINCIA DI</w:t>
      </w:r>
      <w:r w:rsidR="00523CED" w:rsidRPr="000611AF">
        <w:rPr>
          <w:rFonts w:eastAsia="Times"/>
          <w:i/>
          <w:noProof/>
          <w:sz w:val="28"/>
          <w:szCs w:val="20"/>
        </w:rPr>
        <w:t xml:space="preserve"> SASSARI</w:t>
      </w:r>
    </w:p>
    <w:p w:rsidR="00A42233" w:rsidRPr="000611AF" w:rsidRDefault="00A42233" w:rsidP="00A42233">
      <w:pPr>
        <w:spacing w:before="240"/>
        <w:jc w:val="center"/>
        <w:rPr>
          <w:rFonts w:eastAsia="Times"/>
          <w:noProof/>
          <w:sz w:val="28"/>
          <w:szCs w:val="20"/>
        </w:rPr>
      </w:pPr>
    </w:p>
    <w:p w:rsidR="004874D1" w:rsidRPr="000611AF" w:rsidRDefault="004874D1">
      <w:pPr>
        <w:pStyle w:val="Titolo3"/>
        <w:rPr>
          <w:b/>
          <w:bCs/>
          <w:sz w:val="22"/>
          <w:szCs w:val="22"/>
        </w:rPr>
      </w:pPr>
      <w:r w:rsidRPr="000611AF">
        <w:rPr>
          <w:b/>
          <w:bCs/>
          <w:sz w:val="22"/>
          <w:szCs w:val="22"/>
        </w:rPr>
        <w:t xml:space="preserve">ORGANO </w:t>
      </w:r>
      <w:proofErr w:type="spellStart"/>
      <w:r w:rsidRPr="000611AF">
        <w:rPr>
          <w:b/>
          <w:bCs/>
          <w:sz w:val="22"/>
          <w:szCs w:val="22"/>
        </w:rPr>
        <w:t>DI</w:t>
      </w:r>
      <w:proofErr w:type="spellEnd"/>
      <w:r w:rsidRPr="000611AF">
        <w:rPr>
          <w:b/>
          <w:bCs/>
          <w:sz w:val="22"/>
          <w:szCs w:val="22"/>
        </w:rPr>
        <w:t xml:space="preserve"> REVISIONE ECONOMICO-FINANZIARIA</w:t>
      </w:r>
    </w:p>
    <w:p w:rsidR="004874D1" w:rsidRPr="000611AF" w:rsidRDefault="004874D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10"/>
        <w:gridCol w:w="7368"/>
      </w:tblGrid>
      <w:tr w:rsidR="004874D1" w:rsidRPr="000611AF" w:rsidTr="009C7E19">
        <w:tc>
          <w:tcPr>
            <w:tcW w:w="2410" w:type="dxa"/>
            <w:shd w:val="clear" w:color="auto" w:fill="D9D9D9"/>
          </w:tcPr>
          <w:p w:rsidR="009C7E19" w:rsidRPr="000611AF" w:rsidRDefault="009C7E19" w:rsidP="00DD3754">
            <w:pPr>
              <w:jc w:val="both"/>
              <w:rPr>
                <w:sz w:val="20"/>
                <w:szCs w:val="20"/>
              </w:rPr>
            </w:pPr>
          </w:p>
          <w:p w:rsidR="004874D1" w:rsidRPr="000611AF" w:rsidRDefault="004874D1" w:rsidP="00DD3754">
            <w:pPr>
              <w:jc w:val="both"/>
              <w:rPr>
                <w:sz w:val="20"/>
                <w:szCs w:val="20"/>
              </w:rPr>
            </w:pPr>
            <w:r w:rsidRPr="000611AF">
              <w:rPr>
                <w:b/>
                <w:sz w:val="20"/>
                <w:szCs w:val="20"/>
              </w:rPr>
              <w:t>Verbale n</w:t>
            </w:r>
            <w:r w:rsidRPr="000611AF">
              <w:rPr>
                <w:sz w:val="20"/>
                <w:szCs w:val="20"/>
              </w:rPr>
              <w:t xml:space="preserve">. </w:t>
            </w:r>
            <w:r w:rsidR="00DF0A70">
              <w:rPr>
                <w:sz w:val="20"/>
                <w:szCs w:val="20"/>
              </w:rPr>
              <w:t>168</w:t>
            </w:r>
          </w:p>
          <w:p w:rsidR="004874D1" w:rsidRPr="000611AF" w:rsidRDefault="00DF0A70" w:rsidP="00DD37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19.05.2025</w:t>
            </w:r>
          </w:p>
        </w:tc>
        <w:tc>
          <w:tcPr>
            <w:tcW w:w="7368" w:type="dxa"/>
          </w:tcPr>
          <w:p w:rsidR="004874D1" w:rsidRPr="000611AF" w:rsidRDefault="00DD3754" w:rsidP="00DD3754">
            <w:pPr>
              <w:jc w:val="both"/>
              <w:rPr>
                <w:sz w:val="20"/>
                <w:szCs w:val="20"/>
              </w:rPr>
            </w:pPr>
            <w:r w:rsidRPr="00DD3754">
              <w:rPr>
                <w:b/>
                <w:bCs/>
                <w:sz w:val="20"/>
                <w:szCs w:val="20"/>
              </w:rPr>
              <w:t>Oggetto</w:t>
            </w:r>
            <w:r>
              <w:rPr>
                <w:sz w:val="20"/>
                <w:szCs w:val="20"/>
              </w:rPr>
              <w:t xml:space="preserve">: </w:t>
            </w:r>
            <w:r w:rsidRPr="000611AF">
              <w:rPr>
                <w:b/>
                <w:sz w:val="20"/>
                <w:szCs w:val="20"/>
              </w:rPr>
              <w:t xml:space="preserve">PARERE SULLA PROPOSTA </w:t>
            </w:r>
            <w:proofErr w:type="spellStart"/>
            <w:r w:rsidR="00BF0651" w:rsidRPr="00BF0651">
              <w:rPr>
                <w:b/>
                <w:sz w:val="20"/>
                <w:szCs w:val="20"/>
              </w:rPr>
              <w:t>DI</w:t>
            </w:r>
            <w:proofErr w:type="spellEnd"/>
            <w:r w:rsidR="00BF0651" w:rsidRPr="00BF0651">
              <w:rPr>
                <w:b/>
                <w:sz w:val="20"/>
                <w:szCs w:val="20"/>
              </w:rPr>
              <w:t xml:space="preserve"> DELIBERA CONSIGLIO COMUNALEN. </w:t>
            </w:r>
            <w:r w:rsidR="00DF0A70">
              <w:rPr>
                <w:b/>
                <w:sz w:val="20"/>
                <w:szCs w:val="20"/>
              </w:rPr>
              <w:t>17</w:t>
            </w:r>
            <w:r w:rsidR="00BF0651" w:rsidRPr="00BF0651">
              <w:rPr>
                <w:b/>
                <w:sz w:val="20"/>
                <w:szCs w:val="20"/>
              </w:rPr>
              <w:t xml:space="preserve"> del </w:t>
            </w:r>
            <w:r w:rsidR="00DF0A70">
              <w:rPr>
                <w:b/>
                <w:sz w:val="20"/>
                <w:szCs w:val="20"/>
              </w:rPr>
              <w:t>15.05.2025</w:t>
            </w:r>
            <w:r w:rsidR="004D1E56" w:rsidRPr="00DD3754">
              <w:rPr>
                <w:b/>
                <w:sz w:val="20"/>
                <w:szCs w:val="20"/>
              </w:rPr>
              <w:t xml:space="preserve">VARIAZIONE AL BILANCIO </w:t>
            </w:r>
            <w:proofErr w:type="spellStart"/>
            <w:r w:rsidR="004D1E56" w:rsidRPr="00DD3754">
              <w:rPr>
                <w:b/>
                <w:sz w:val="20"/>
                <w:szCs w:val="20"/>
              </w:rPr>
              <w:t>DI</w:t>
            </w:r>
            <w:proofErr w:type="spellEnd"/>
            <w:r>
              <w:rPr>
                <w:b/>
                <w:sz w:val="20"/>
                <w:szCs w:val="20"/>
              </w:rPr>
              <w:t xml:space="preserve">                                               P</w:t>
            </w:r>
            <w:r w:rsidR="004D1E56" w:rsidRPr="00DD3754">
              <w:rPr>
                <w:b/>
                <w:sz w:val="20"/>
                <w:szCs w:val="20"/>
              </w:rPr>
              <w:t>REVISIONE FINANZIARIO 202</w:t>
            </w:r>
            <w:r w:rsidR="00DF0A70">
              <w:rPr>
                <w:b/>
                <w:sz w:val="20"/>
                <w:szCs w:val="20"/>
              </w:rPr>
              <w:t>5</w:t>
            </w:r>
            <w:r w:rsidR="004D1E56" w:rsidRPr="00DD3754">
              <w:rPr>
                <w:b/>
                <w:sz w:val="20"/>
                <w:szCs w:val="20"/>
              </w:rPr>
              <w:t>/202</w:t>
            </w:r>
            <w:r w:rsidR="00DF0A70">
              <w:rPr>
                <w:b/>
                <w:sz w:val="20"/>
                <w:szCs w:val="20"/>
              </w:rPr>
              <w:t>7</w:t>
            </w:r>
            <w:r w:rsidR="004D1E56" w:rsidRPr="00DD3754">
              <w:rPr>
                <w:b/>
                <w:sz w:val="20"/>
                <w:szCs w:val="20"/>
              </w:rPr>
              <w:t xml:space="preserve"> (ART. 175, COMMA 2,DEL </w:t>
            </w:r>
            <w:proofErr w:type="spellStart"/>
            <w:r w:rsidR="004D1E56" w:rsidRPr="00DD3754">
              <w:rPr>
                <w:b/>
                <w:sz w:val="20"/>
                <w:szCs w:val="20"/>
              </w:rPr>
              <w:t>D.LGS.</w:t>
            </w:r>
            <w:proofErr w:type="spellEnd"/>
            <w:r w:rsidR="004D1E56" w:rsidRPr="00DD3754">
              <w:rPr>
                <w:b/>
                <w:sz w:val="20"/>
                <w:szCs w:val="20"/>
              </w:rPr>
              <w:t xml:space="preserve"> N. 267/2000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</w:tbl>
    <w:p w:rsidR="004874D1" w:rsidRPr="000611AF" w:rsidRDefault="004874D1" w:rsidP="00E846B0">
      <w:pPr>
        <w:spacing w:line="360" w:lineRule="auto"/>
        <w:jc w:val="both"/>
        <w:rPr>
          <w:sz w:val="20"/>
          <w:szCs w:val="20"/>
        </w:rPr>
      </w:pPr>
    </w:p>
    <w:p w:rsidR="004D1E56" w:rsidRDefault="004874D1" w:rsidP="004D1E5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611AF">
        <w:rPr>
          <w:sz w:val="20"/>
          <w:szCs w:val="20"/>
        </w:rPr>
        <w:t xml:space="preserve">L’anno </w:t>
      </w:r>
      <w:r w:rsidR="00D54545" w:rsidRPr="000611AF">
        <w:rPr>
          <w:sz w:val="20"/>
          <w:szCs w:val="20"/>
        </w:rPr>
        <w:t>20</w:t>
      </w:r>
      <w:r w:rsidR="001A00BF" w:rsidRPr="000611AF">
        <w:rPr>
          <w:sz w:val="20"/>
          <w:szCs w:val="20"/>
        </w:rPr>
        <w:t>2</w:t>
      </w:r>
      <w:r w:rsidR="00DF0A70">
        <w:rPr>
          <w:sz w:val="20"/>
          <w:szCs w:val="20"/>
        </w:rPr>
        <w:t>5</w:t>
      </w:r>
      <w:r w:rsidRPr="000611AF">
        <w:rPr>
          <w:sz w:val="20"/>
          <w:szCs w:val="20"/>
        </w:rPr>
        <w:t xml:space="preserve">, il giorno </w:t>
      </w:r>
      <w:r w:rsidR="00DF0A70">
        <w:rPr>
          <w:sz w:val="20"/>
          <w:szCs w:val="20"/>
        </w:rPr>
        <w:t>19</w:t>
      </w:r>
      <w:r w:rsidRPr="000611AF">
        <w:rPr>
          <w:sz w:val="20"/>
          <w:szCs w:val="20"/>
        </w:rPr>
        <w:t xml:space="preserve">del mese di </w:t>
      </w:r>
      <w:r w:rsidR="00DF0A70">
        <w:rPr>
          <w:sz w:val="20"/>
          <w:szCs w:val="20"/>
        </w:rPr>
        <w:t>maggio</w:t>
      </w:r>
      <w:r w:rsidRPr="000611AF">
        <w:rPr>
          <w:sz w:val="20"/>
          <w:szCs w:val="20"/>
        </w:rPr>
        <w:t xml:space="preserve">, alle ore </w:t>
      </w:r>
      <w:r w:rsidR="008F0159">
        <w:rPr>
          <w:sz w:val="20"/>
          <w:szCs w:val="20"/>
        </w:rPr>
        <w:t>1</w:t>
      </w:r>
      <w:r w:rsidR="00DF0A70">
        <w:rPr>
          <w:sz w:val="20"/>
          <w:szCs w:val="20"/>
        </w:rPr>
        <w:t>7</w:t>
      </w:r>
      <w:r w:rsidR="008F0159">
        <w:rPr>
          <w:sz w:val="20"/>
          <w:szCs w:val="20"/>
        </w:rPr>
        <w:t>,00</w:t>
      </w:r>
      <w:r w:rsidRPr="000611AF">
        <w:rPr>
          <w:sz w:val="20"/>
          <w:szCs w:val="20"/>
        </w:rPr>
        <w:t xml:space="preserve">, l’organo di revisione economico finanziaria </w:t>
      </w:r>
      <w:r w:rsidR="00D54545" w:rsidRPr="000611AF">
        <w:rPr>
          <w:sz w:val="20"/>
          <w:szCs w:val="20"/>
        </w:rPr>
        <w:t>ha proceduto ad</w:t>
      </w:r>
      <w:r w:rsidRPr="000611AF">
        <w:rPr>
          <w:sz w:val="20"/>
          <w:szCs w:val="20"/>
        </w:rPr>
        <w:t xml:space="preserve"> esprimere il proprio parere in merito alla variazione di bilancio contenuta nella proposta di deliberazione </w:t>
      </w:r>
      <w:r w:rsidR="001A00BF" w:rsidRPr="000611AF">
        <w:rPr>
          <w:sz w:val="20"/>
          <w:szCs w:val="20"/>
        </w:rPr>
        <w:t xml:space="preserve">avente </w:t>
      </w:r>
      <w:r w:rsidRPr="000611AF">
        <w:rPr>
          <w:sz w:val="20"/>
          <w:szCs w:val="20"/>
        </w:rPr>
        <w:t>ad oggetto:</w:t>
      </w:r>
      <w:r w:rsidR="004D1E56" w:rsidRPr="004D1E56">
        <w:rPr>
          <w:sz w:val="20"/>
          <w:szCs w:val="20"/>
        </w:rPr>
        <w:t xml:space="preserve">VARIAZIONE AL BILANCIO </w:t>
      </w:r>
      <w:proofErr w:type="spellStart"/>
      <w:r w:rsidR="004D1E56" w:rsidRPr="004D1E56">
        <w:rPr>
          <w:sz w:val="20"/>
          <w:szCs w:val="20"/>
        </w:rPr>
        <w:t>DI</w:t>
      </w:r>
      <w:proofErr w:type="spellEnd"/>
      <w:r w:rsidR="004D1E56" w:rsidRPr="004D1E56">
        <w:rPr>
          <w:sz w:val="20"/>
          <w:szCs w:val="20"/>
        </w:rPr>
        <w:t xml:space="preserve"> PREVISIONE FINANZIARIO 202</w:t>
      </w:r>
      <w:r w:rsidR="00DF0A70">
        <w:rPr>
          <w:sz w:val="20"/>
          <w:szCs w:val="20"/>
        </w:rPr>
        <w:t>5</w:t>
      </w:r>
      <w:r w:rsidR="004D1E56" w:rsidRPr="004D1E56">
        <w:rPr>
          <w:sz w:val="20"/>
          <w:szCs w:val="20"/>
        </w:rPr>
        <w:t>/202</w:t>
      </w:r>
      <w:r w:rsidR="00DF0A70">
        <w:rPr>
          <w:sz w:val="20"/>
          <w:szCs w:val="20"/>
        </w:rPr>
        <w:t>7</w:t>
      </w:r>
      <w:r w:rsidR="004D1E56" w:rsidRPr="004D1E56">
        <w:rPr>
          <w:sz w:val="20"/>
          <w:szCs w:val="20"/>
        </w:rPr>
        <w:t xml:space="preserve"> (ART. 175, COMMA 2,DEL </w:t>
      </w:r>
      <w:proofErr w:type="spellStart"/>
      <w:r w:rsidR="004D1E56" w:rsidRPr="004D1E56">
        <w:rPr>
          <w:sz w:val="20"/>
          <w:szCs w:val="20"/>
        </w:rPr>
        <w:t>D.LGS.</w:t>
      </w:r>
      <w:proofErr w:type="spellEnd"/>
      <w:r w:rsidR="004D1E56" w:rsidRPr="004D1E56">
        <w:rPr>
          <w:sz w:val="20"/>
          <w:szCs w:val="20"/>
        </w:rPr>
        <w:t xml:space="preserve"> N. 267/2000</w:t>
      </w:r>
      <w:r w:rsidR="004D1E56">
        <w:rPr>
          <w:sz w:val="20"/>
          <w:szCs w:val="20"/>
        </w:rPr>
        <w:t>;</w:t>
      </w:r>
    </w:p>
    <w:p w:rsidR="00D934B5" w:rsidRPr="000611AF" w:rsidRDefault="009C7E19" w:rsidP="004D1E5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611AF">
        <w:rPr>
          <w:sz w:val="20"/>
          <w:szCs w:val="20"/>
        </w:rPr>
        <w:t xml:space="preserve">Richiamato l’art. 239, del </w:t>
      </w:r>
      <w:proofErr w:type="spellStart"/>
      <w:r w:rsidR="00535D37" w:rsidRPr="000611AF">
        <w:rPr>
          <w:sz w:val="20"/>
          <w:szCs w:val="20"/>
        </w:rPr>
        <w:t>D.Lgs.</w:t>
      </w:r>
      <w:proofErr w:type="spellEnd"/>
      <w:r w:rsidRPr="000611AF">
        <w:rPr>
          <w:sz w:val="20"/>
          <w:szCs w:val="20"/>
        </w:rPr>
        <w:t xml:space="preserve"> n. 267/2000, come modificato dall’articolo 3 del </w:t>
      </w:r>
      <w:r w:rsidR="00535D37" w:rsidRPr="000611AF">
        <w:rPr>
          <w:sz w:val="20"/>
          <w:szCs w:val="20"/>
        </w:rPr>
        <w:t>decreto-legge</w:t>
      </w:r>
      <w:r w:rsidRPr="000611AF">
        <w:rPr>
          <w:sz w:val="20"/>
          <w:szCs w:val="20"/>
        </w:rPr>
        <w:t xml:space="preserve"> 10 ottobre 2012, n. 174, il quale prevede:</w:t>
      </w:r>
    </w:p>
    <w:p w:rsidR="009C7E19" w:rsidRPr="000611AF" w:rsidRDefault="009C7E19" w:rsidP="004D1E56">
      <w:pPr>
        <w:numPr>
          <w:ilvl w:val="0"/>
          <w:numId w:val="2"/>
        </w:numPr>
        <w:jc w:val="both"/>
        <w:rPr>
          <w:sz w:val="20"/>
          <w:szCs w:val="20"/>
        </w:rPr>
      </w:pPr>
      <w:r w:rsidRPr="000611AF">
        <w:rPr>
          <w:sz w:val="20"/>
          <w:szCs w:val="20"/>
        </w:rPr>
        <w:t>al comma 1, lettera b</w:t>
      </w:r>
      <w:proofErr w:type="spellStart"/>
      <w:r w:rsidRPr="000611AF">
        <w:rPr>
          <w:sz w:val="20"/>
          <w:szCs w:val="20"/>
        </w:rPr>
        <w:t>.</w:t>
      </w:r>
      <w:proofErr w:type="spellEnd"/>
      <w:r w:rsidRPr="000611AF">
        <w:rPr>
          <w:sz w:val="20"/>
          <w:szCs w:val="20"/>
        </w:rPr>
        <w:t>2), che l’organo di revisione esprima un parere sulla proposta di bilancio di previsione, verifica degli equilibri e variazioni di bilancio;</w:t>
      </w:r>
    </w:p>
    <w:p w:rsidR="00D934B5" w:rsidRPr="00620C46" w:rsidRDefault="009C7E19" w:rsidP="004D1E56">
      <w:pPr>
        <w:numPr>
          <w:ilvl w:val="0"/>
          <w:numId w:val="2"/>
        </w:numPr>
        <w:jc w:val="both"/>
        <w:rPr>
          <w:sz w:val="20"/>
          <w:szCs w:val="20"/>
        </w:rPr>
      </w:pPr>
      <w:r w:rsidRPr="00620C46">
        <w:rPr>
          <w:sz w:val="20"/>
          <w:szCs w:val="20"/>
        </w:rPr>
        <w:t xml:space="preserve">al comma 1-bis), che </w:t>
      </w:r>
      <w:r w:rsidRPr="00620C46">
        <w:rPr>
          <w:rStyle w:val="provvnumart"/>
          <w:b w:val="0"/>
          <w:sz w:val="20"/>
          <w:szCs w:val="20"/>
        </w:rPr>
        <w:t>n</w:t>
      </w:r>
      <w:r w:rsidRPr="00620C46">
        <w:rPr>
          <w:sz w:val="20"/>
          <w:szCs w:val="20"/>
        </w:rPr>
        <w:t>ei pareri venga “</w:t>
      </w:r>
      <w:r w:rsidRPr="00620C46">
        <w:rPr>
          <w:i/>
          <w:sz w:val="20"/>
          <w:szCs w:val="20"/>
        </w:rPr>
        <w:t xml:space="preserve">espresso un motivato giudizio di congruità, di coerenza e di attendibilità contabile delle previsioni di bilancio e dei programmi e progetti, anche tenuto conto dell'attestazione del responsabile del servizio finanziario ai sensi dell'articolo 153, delle variazioni rispetto all'anno precedente, dell'applicazione dei parametri di </w:t>
      </w:r>
      <w:proofErr w:type="spellStart"/>
      <w:r w:rsidRPr="00620C46">
        <w:rPr>
          <w:i/>
          <w:sz w:val="20"/>
          <w:szCs w:val="20"/>
        </w:rPr>
        <w:t>deficitarietà</w:t>
      </w:r>
      <w:proofErr w:type="spellEnd"/>
      <w:r w:rsidRPr="00620C46">
        <w:rPr>
          <w:i/>
          <w:sz w:val="20"/>
          <w:szCs w:val="20"/>
        </w:rPr>
        <w:t xml:space="preserve"> strutturale e di ogni altro elemento utile. Nei pareri sono suggerite all'organo consiliare le misure atte ad assicurare l'attendibilità delle impostazioni. I pareri sono obbligatori</w:t>
      </w:r>
      <w:r w:rsidRPr="00620C46">
        <w:rPr>
          <w:sz w:val="20"/>
          <w:szCs w:val="20"/>
        </w:rPr>
        <w:t>”;</w:t>
      </w:r>
    </w:p>
    <w:p w:rsidR="0056470C" w:rsidRDefault="0056470C" w:rsidP="00DF0A70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DF0A70" w:rsidRPr="00DF0A70" w:rsidRDefault="004D1E56" w:rsidP="00DF0A70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F0A70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Rilevata </w:t>
      </w:r>
      <w:r w:rsidR="00BF0651" w:rsidRPr="00DF0A70">
        <w:rPr>
          <w:rFonts w:ascii="Times New Roman" w:hAnsi="Times New Roman" w:cs="Times New Roman"/>
          <w:b/>
          <w:bCs/>
          <w:color w:val="auto"/>
          <w:sz w:val="20"/>
          <w:szCs w:val="20"/>
        </w:rPr>
        <w:t>la necessità</w:t>
      </w:r>
      <w:r w:rsidR="00BF0651" w:rsidRPr="00DF0A70">
        <w:rPr>
          <w:rFonts w:ascii="Times New Roman" w:hAnsi="Times New Roman" w:cs="Times New Roman"/>
          <w:color w:val="auto"/>
          <w:sz w:val="20"/>
          <w:szCs w:val="20"/>
        </w:rPr>
        <w:t xml:space="preserve">, come evidenziato </w:t>
      </w:r>
      <w:r w:rsidR="00DF0A70" w:rsidRPr="00DF0A70">
        <w:rPr>
          <w:rFonts w:ascii="Times New Roman" w:hAnsi="Times New Roman" w:cs="Times New Roman"/>
          <w:color w:val="auto"/>
          <w:sz w:val="20"/>
          <w:szCs w:val="20"/>
        </w:rPr>
        <w:t xml:space="preserve">dalla nota del Responsabile del Settore Tecnico Manutentivo Vigilanza Attività Produttive Reg. </w:t>
      </w:r>
      <w:proofErr w:type="spellStart"/>
      <w:r w:rsidR="00DF0A70" w:rsidRPr="00DF0A70">
        <w:rPr>
          <w:rFonts w:ascii="Times New Roman" w:hAnsi="Times New Roman" w:cs="Times New Roman"/>
          <w:color w:val="auto"/>
          <w:sz w:val="20"/>
          <w:szCs w:val="20"/>
        </w:rPr>
        <w:t>nr</w:t>
      </w:r>
      <w:proofErr w:type="spellEnd"/>
      <w:r w:rsidR="00DF0A70" w:rsidRPr="00DF0A70">
        <w:rPr>
          <w:rFonts w:ascii="Times New Roman" w:hAnsi="Times New Roman" w:cs="Times New Roman"/>
          <w:color w:val="auto"/>
          <w:sz w:val="20"/>
          <w:szCs w:val="20"/>
        </w:rPr>
        <w:t xml:space="preserve">.0004349/2025 del 16/05/2025 relativa alla richiesta di applicazione della quota disponibile dell’avanzo di amministrazione  come di seguito indicato: </w:t>
      </w:r>
    </w:p>
    <w:p w:rsidR="00DF0A70" w:rsidRPr="00DF0A70" w:rsidRDefault="00DF0A70" w:rsidP="00DF0A7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F0A70">
        <w:rPr>
          <w:sz w:val="20"/>
          <w:szCs w:val="20"/>
        </w:rPr>
        <w:t xml:space="preserve">€ 20.000,00 (avanzo libero) al Cap. 209260, per manutenzione straordinaria alloggi edilizia residenziale; </w:t>
      </w:r>
    </w:p>
    <w:p w:rsidR="00DF0A70" w:rsidRPr="00DF0A70" w:rsidRDefault="00DF0A70" w:rsidP="00DF0A7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F0A70">
        <w:rPr>
          <w:sz w:val="20"/>
          <w:szCs w:val="20"/>
        </w:rPr>
        <w:t xml:space="preserve">€ 20.000,00 (avanzo libero) al Cap. 208220, per manutenzione straordinaria degli impianti di </w:t>
      </w:r>
      <w:proofErr w:type="spellStart"/>
      <w:r w:rsidRPr="00DF0A70">
        <w:rPr>
          <w:sz w:val="20"/>
          <w:szCs w:val="20"/>
        </w:rPr>
        <w:t>I.P.</w:t>
      </w:r>
      <w:proofErr w:type="spellEnd"/>
      <w:r w:rsidRPr="00DF0A70">
        <w:rPr>
          <w:sz w:val="20"/>
          <w:szCs w:val="20"/>
        </w:rPr>
        <w:t xml:space="preserve">; </w:t>
      </w:r>
    </w:p>
    <w:p w:rsidR="00DF0A70" w:rsidRPr="00DF0A70" w:rsidRDefault="00DF0A70" w:rsidP="00DF0A7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F0A70">
        <w:rPr>
          <w:sz w:val="20"/>
          <w:szCs w:val="20"/>
        </w:rPr>
        <w:t xml:space="preserve">€ 70.000,00 (avanzo libero) al Cap. 200882, per manutenzione straordinaria edifici comunali; </w:t>
      </w:r>
    </w:p>
    <w:p w:rsidR="00DF0A70" w:rsidRPr="00DF0A70" w:rsidRDefault="00DF0A70" w:rsidP="00DF0A7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F0A70">
        <w:rPr>
          <w:sz w:val="20"/>
          <w:szCs w:val="20"/>
        </w:rPr>
        <w:t xml:space="preserve">€ 130.000,00 (avanzo libero) al Cap. 20067, per manutenzione straordinaria del verde pubblico; </w:t>
      </w:r>
    </w:p>
    <w:p w:rsidR="00DF0A70" w:rsidRPr="00DF0A70" w:rsidRDefault="00DF0A70" w:rsidP="00DF0A7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F0A70">
        <w:rPr>
          <w:sz w:val="20"/>
          <w:szCs w:val="20"/>
        </w:rPr>
        <w:t xml:space="preserve">€ 110.000,00 (avanzo libero) al Cap. 208050, per manutenzione straordinaria delle strade comunali; </w:t>
      </w:r>
    </w:p>
    <w:p w:rsidR="00DF0A70" w:rsidRDefault="00DF0A70" w:rsidP="00DF0A7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F0A70">
        <w:rPr>
          <w:b/>
          <w:bCs/>
          <w:sz w:val="20"/>
          <w:szCs w:val="20"/>
        </w:rPr>
        <w:t>Atteso che</w:t>
      </w:r>
      <w:r>
        <w:rPr>
          <w:sz w:val="20"/>
          <w:szCs w:val="20"/>
        </w:rPr>
        <w:t xml:space="preserve"> l</w:t>
      </w:r>
      <w:r w:rsidRPr="00DF0A70">
        <w:rPr>
          <w:sz w:val="20"/>
          <w:szCs w:val="20"/>
        </w:rPr>
        <w:t>a richiesta di applicazione dell’avanzo libero per l’importo complessivo di €.350.000,00, di cui sopra, si rende necessaria per migliorare lo stato delle reti e degli edifici del patrimonio comunale.</w:t>
      </w:r>
    </w:p>
    <w:p w:rsidR="00DA4573" w:rsidRPr="00DA4573" w:rsidRDefault="00DA4573" w:rsidP="00DA4573">
      <w:pPr>
        <w:autoSpaceDE w:val="0"/>
        <w:autoSpaceDN w:val="0"/>
        <w:adjustRightInd w:val="0"/>
        <w:rPr>
          <w:sz w:val="20"/>
          <w:szCs w:val="20"/>
        </w:rPr>
      </w:pPr>
      <w:r w:rsidRPr="00DA4573">
        <w:rPr>
          <w:b/>
          <w:bCs/>
          <w:sz w:val="20"/>
          <w:szCs w:val="20"/>
        </w:rPr>
        <w:t>Richiamata inoltre</w:t>
      </w:r>
      <w:r w:rsidRPr="00DA4573">
        <w:rPr>
          <w:sz w:val="20"/>
          <w:szCs w:val="20"/>
        </w:rPr>
        <w:t xml:space="preserve"> la nota del Responsabile del Settore Socio Assistenziale e Culturale relativa alla richiesta delle risorse necessarie per l’attivazione del Servizio Educativo Territoriale in favore dei minori residenti;</w:t>
      </w:r>
    </w:p>
    <w:p w:rsidR="00E94930" w:rsidRDefault="00DF0A70" w:rsidP="00E94930">
      <w:pPr>
        <w:autoSpaceDE w:val="0"/>
        <w:autoSpaceDN w:val="0"/>
        <w:adjustRightInd w:val="0"/>
        <w:rPr>
          <w:sz w:val="20"/>
          <w:szCs w:val="20"/>
        </w:rPr>
      </w:pPr>
      <w:r w:rsidRPr="00DA4573">
        <w:rPr>
          <w:b/>
          <w:bCs/>
          <w:sz w:val="20"/>
          <w:szCs w:val="20"/>
        </w:rPr>
        <w:t>Rilevato inoltre</w:t>
      </w:r>
      <w:r>
        <w:rPr>
          <w:sz w:val="20"/>
          <w:szCs w:val="20"/>
        </w:rPr>
        <w:t xml:space="preserve"> necessario procedere a variazione di partite di </w:t>
      </w:r>
      <w:r w:rsidR="00DA4573">
        <w:rPr>
          <w:sz w:val="20"/>
          <w:szCs w:val="20"/>
        </w:rPr>
        <w:t xml:space="preserve">entrata e di </w:t>
      </w:r>
      <w:r>
        <w:rPr>
          <w:sz w:val="20"/>
          <w:szCs w:val="20"/>
        </w:rPr>
        <w:t>spesa</w:t>
      </w:r>
      <w:r w:rsidR="00FB3536">
        <w:rPr>
          <w:sz w:val="20"/>
          <w:szCs w:val="20"/>
        </w:rPr>
        <w:t xml:space="preserve"> relative a</w:t>
      </w:r>
      <w:r w:rsidR="00E94930">
        <w:rPr>
          <w:sz w:val="20"/>
          <w:szCs w:val="20"/>
        </w:rPr>
        <w:t xml:space="preserve">lle </w:t>
      </w:r>
      <w:proofErr w:type="spellStart"/>
      <w:r w:rsidR="00E94930">
        <w:rPr>
          <w:sz w:val="20"/>
          <w:szCs w:val="20"/>
        </w:rPr>
        <w:t>seguentifinanziamenti</w:t>
      </w:r>
      <w:proofErr w:type="spellEnd"/>
      <w:r w:rsidR="00E94930">
        <w:rPr>
          <w:sz w:val="20"/>
          <w:szCs w:val="20"/>
        </w:rPr>
        <w:t>:</w:t>
      </w:r>
    </w:p>
    <w:p w:rsidR="00E94930" w:rsidRDefault="00E94930" w:rsidP="00E9493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94930">
        <w:rPr>
          <w:sz w:val="20"/>
          <w:szCs w:val="20"/>
        </w:rPr>
        <w:t xml:space="preserve">  FONDO COMUNI MARGINALI per euro 14.354,23;</w:t>
      </w:r>
    </w:p>
    <w:p w:rsidR="00E94930" w:rsidRPr="00E94930" w:rsidRDefault="00FB3536" w:rsidP="00E9493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94930">
        <w:rPr>
          <w:sz w:val="20"/>
          <w:szCs w:val="20"/>
        </w:rPr>
        <w:t xml:space="preserve">PNRR M1 C1 INV 1.4 CUP G91F22002100006 - ESTENSIONE UTILIZZO PIATTAFORME DIGITALI NAZIONALI </w:t>
      </w:r>
      <w:proofErr w:type="spellStart"/>
      <w:r w:rsidRPr="00E94930">
        <w:rPr>
          <w:sz w:val="20"/>
          <w:szCs w:val="20"/>
        </w:rPr>
        <w:t>DI</w:t>
      </w:r>
      <w:proofErr w:type="spellEnd"/>
      <w:r w:rsidRPr="00E94930">
        <w:rPr>
          <w:sz w:val="20"/>
          <w:szCs w:val="20"/>
        </w:rPr>
        <w:t xml:space="preserve"> IDENTITA' DIGITALE  per euro 14.000,00</w:t>
      </w:r>
      <w:r w:rsidR="00E94930">
        <w:rPr>
          <w:sz w:val="20"/>
          <w:szCs w:val="20"/>
        </w:rPr>
        <w:t>;</w:t>
      </w:r>
    </w:p>
    <w:p w:rsidR="00E94930" w:rsidRPr="00E94930" w:rsidRDefault="00E94930" w:rsidP="00E9493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.</w:t>
      </w:r>
      <w:r w:rsidR="00FB3536" w:rsidRPr="00E94930">
        <w:rPr>
          <w:sz w:val="20"/>
          <w:szCs w:val="20"/>
        </w:rPr>
        <w:t xml:space="preserve"> PNRR M1 C1 INV 1.4 CUP G91F22004130006 "SERVIZI E CITTADINANZA DIGITALE - MISURA 1.4.3 - ADOZIONE APP IO</w:t>
      </w:r>
      <w:r w:rsidRPr="00E94930">
        <w:rPr>
          <w:sz w:val="20"/>
          <w:szCs w:val="20"/>
        </w:rPr>
        <w:t xml:space="preserve"> per euro 11.907,00</w:t>
      </w:r>
      <w:r>
        <w:rPr>
          <w:sz w:val="20"/>
          <w:szCs w:val="20"/>
        </w:rPr>
        <w:t>;</w:t>
      </w:r>
    </w:p>
    <w:p w:rsidR="00E94930" w:rsidRDefault="00E94930" w:rsidP="00E94930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DF0A70" w:rsidRPr="00DF0A70" w:rsidRDefault="00E94930" w:rsidP="00E94930">
      <w:pPr>
        <w:autoSpaceDE w:val="0"/>
        <w:autoSpaceDN w:val="0"/>
        <w:adjustRightInd w:val="0"/>
        <w:rPr>
          <w:sz w:val="20"/>
          <w:szCs w:val="20"/>
        </w:rPr>
      </w:pPr>
      <w:r w:rsidRPr="00E94930">
        <w:rPr>
          <w:b/>
          <w:bCs/>
          <w:sz w:val="20"/>
          <w:szCs w:val="20"/>
        </w:rPr>
        <w:t>Viste</w:t>
      </w:r>
      <w:r w:rsidRPr="00E94930">
        <w:rPr>
          <w:sz w:val="20"/>
          <w:szCs w:val="20"/>
        </w:rPr>
        <w:t xml:space="preserve"> le ulteriori  variazioni e compensazioni di entrata e di spesa resesi necessarie per garantire l’espletamento delle attività ordinarie </w:t>
      </w:r>
      <w:r>
        <w:rPr>
          <w:sz w:val="20"/>
          <w:szCs w:val="20"/>
        </w:rPr>
        <w:t>:</w:t>
      </w:r>
      <w:r w:rsidR="00DF0A70">
        <w:rPr>
          <w:sz w:val="20"/>
          <w:szCs w:val="20"/>
        </w:rPr>
        <w:t xml:space="preserve"> a valere sugli esercizi 2026-2027 al fine di garantire </w:t>
      </w:r>
      <w:r w:rsidR="00DA4573">
        <w:rPr>
          <w:sz w:val="20"/>
          <w:szCs w:val="20"/>
        </w:rPr>
        <w:t>i relativi servizi;</w:t>
      </w:r>
    </w:p>
    <w:tbl>
      <w:tblPr>
        <w:tblW w:w="5200" w:type="dxa"/>
        <w:jc w:val="center"/>
        <w:tblCellMar>
          <w:left w:w="70" w:type="dxa"/>
          <w:right w:w="70" w:type="dxa"/>
        </w:tblCellMar>
        <w:tblLook w:val="04A0"/>
      </w:tblPr>
      <w:tblGrid>
        <w:gridCol w:w="1300"/>
        <w:gridCol w:w="1300"/>
        <w:gridCol w:w="1300"/>
        <w:gridCol w:w="1300"/>
      </w:tblGrid>
      <w:tr w:rsidR="00620C46" w:rsidTr="00620C46">
        <w:trPr>
          <w:trHeight w:val="300"/>
          <w:jc w:val="center"/>
        </w:trPr>
        <w:tc>
          <w:tcPr>
            <w:tcW w:w="52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bookmarkStart w:id="1" w:name="_Hlk198567702"/>
            <w:r>
              <w:rPr>
                <w:color w:val="000000"/>
                <w:sz w:val="16"/>
                <w:szCs w:val="16"/>
              </w:rPr>
              <w:t>202</w:t>
            </w:r>
            <w:r w:rsidR="00DF0A70">
              <w:rPr>
                <w:color w:val="000000"/>
                <w:sz w:val="16"/>
                <w:szCs w:val="16"/>
              </w:rPr>
              <w:t>5</w:t>
            </w:r>
          </w:p>
        </w:tc>
      </w:tr>
      <w:tr w:rsidR="00620C46" w:rsidTr="00620C46">
        <w:trPr>
          <w:trHeight w:val="300"/>
          <w:jc w:val="center"/>
        </w:trPr>
        <w:tc>
          <w:tcPr>
            <w:tcW w:w="2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ENTRATA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Importo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Importo</w:t>
            </w:r>
          </w:p>
        </w:tc>
      </w:tr>
      <w:tr w:rsidR="00620C46" w:rsidTr="00620C46">
        <w:trPr>
          <w:trHeight w:val="30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Variazioni in aumento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€ </w:t>
            </w:r>
            <w:r w:rsidR="00E94930">
              <w:rPr>
                <w:color w:val="000000"/>
                <w:sz w:val="16"/>
                <w:szCs w:val="16"/>
              </w:rPr>
              <w:t>40</w:t>
            </w:r>
            <w:r w:rsidR="007104F4">
              <w:rPr>
                <w:color w:val="000000"/>
                <w:sz w:val="16"/>
                <w:szCs w:val="16"/>
              </w:rPr>
              <w:t>8</w:t>
            </w:r>
            <w:r w:rsidR="00E94930">
              <w:rPr>
                <w:color w:val="000000"/>
                <w:sz w:val="16"/>
                <w:szCs w:val="16"/>
              </w:rPr>
              <w:t>.</w:t>
            </w:r>
            <w:r w:rsidR="007104F4">
              <w:rPr>
                <w:color w:val="000000"/>
                <w:sz w:val="16"/>
                <w:szCs w:val="16"/>
              </w:rPr>
              <w:t>200,87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620C46" w:rsidTr="00620C46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€ </w:t>
            </w:r>
            <w:r w:rsidR="00E94930">
              <w:rPr>
                <w:color w:val="000000"/>
                <w:sz w:val="16"/>
                <w:szCs w:val="16"/>
              </w:rPr>
              <w:t>40</w:t>
            </w:r>
            <w:r w:rsidR="007104F4">
              <w:rPr>
                <w:color w:val="000000"/>
                <w:sz w:val="16"/>
                <w:szCs w:val="16"/>
              </w:rPr>
              <w:t>8</w:t>
            </w:r>
            <w:r w:rsidR="00E94930">
              <w:rPr>
                <w:color w:val="000000"/>
                <w:sz w:val="16"/>
                <w:szCs w:val="16"/>
              </w:rPr>
              <w:t>.</w:t>
            </w:r>
            <w:r w:rsidR="007104F4">
              <w:rPr>
                <w:color w:val="000000"/>
                <w:sz w:val="16"/>
                <w:szCs w:val="16"/>
              </w:rPr>
              <w:t>200,87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620C46" w:rsidTr="007104F4">
        <w:trPr>
          <w:trHeight w:val="30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Variazioni in diminuzione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0C46" w:rsidRDefault="007104F4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20C46" w:rsidTr="00620C46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7104F4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20C46" w:rsidTr="00620C46">
        <w:trPr>
          <w:trHeight w:val="300"/>
          <w:jc w:val="center"/>
        </w:trPr>
        <w:tc>
          <w:tcPr>
            <w:tcW w:w="2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620C46" w:rsidRDefault="00620C46" w:rsidP="004D1E5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SPESA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0C46" w:rsidRDefault="00620C46" w:rsidP="004D1E5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Importo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0C46" w:rsidRDefault="00620C46" w:rsidP="004D1E5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Importo</w:t>
            </w:r>
          </w:p>
        </w:tc>
      </w:tr>
      <w:tr w:rsidR="00620C46" w:rsidTr="00620C46">
        <w:trPr>
          <w:trHeight w:val="30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Variazioni in aumento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€ </w:t>
            </w:r>
            <w:r w:rsidR="007104F4">
              <w:rPr>
                <w:color w:val="000000"/>
                <w:sz w:val="16"/>
                <w:szCs w:val="16"/>
              </w:rPr>
              <w:t>409.843,13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620C46" w:rsidTr="00620C46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€ </w:t>
            </w:r>
            <w:r w:rsidR="007104F4">
              <w:rPr>
                <w:color w:val="000000"/>
                <w:sz w:val="16"/>
                <w:szCs w:val="16"/>
              </w:rPr>
              <w:t>409.843,13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620C46" w:rsidTr="00620C46">
        <w:trPr>
          <w:trHeight w:val="30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Variazioni in diminuzione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2F711E" w:rsidRDefault="007104F4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1.642,26</w:t>
            </w:r>
          </w:p>
        </w:tc>
      </w:tr>
      <w:tr w:rsidR="00620C46" w:rsidTr="00620C46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7104F4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1.642,26</w:t>
            </w:r>
          </w:p>
        </w:tc>
      </w:tr>
      <w:tr w:rsidR="00620C46" w:rsidTr="00620C46">
        <w:trPr>
          <w:trHeight w:val="30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TOTALE A PAREGGIO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0,00</w:t>
            </w:r>
          </w:p>
        </w:tc>
      </w:tr>
      <w:tr w:rsidR="00620C46" w:rsidTr="00620C46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20C46" w:rsidTr="00853320">
        <w:trPr>
          <w:trHeight w:val="300"/>
          <w:jc w:val="center"/>
        </w:trPr>
        <w:tc>
          <w:tcPr>
            <w:tcW w:w="52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202</w:t>
            </w:r>
            <w:r w:rsidR="00DF0A70">
              <w:rPr>
                <w:color w:val="000000"/>
                <w:sz w:val="16"/>
                <w:szCs w:val="16"/>
              </w:rPr>
              <w:t>6</w:t>
            </w:r>
          </w:p>
        </w:tc>
      </w:tr>
      <w:bookmarkEnd w:id="1"/>
      <w:tr w:rsidR="00620C46" w:rsidTr="00853320">
        <w:trPr>
          <w:trHeight w:val="300"/>
          <w:jc w:val="center"/>
        </w:trPr>
        <w:tc>
          <w:tcPr>
            <w:tcW w:w="2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ENTRATA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Importo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Importo</w:t>
            </w:r>
          </w:p>
        </w:tc>
      </w:tr>
      <w:tr w:rsidR="00620C46" w:rsidTr="00853320">
        <w:trPr>
          <w:trHeight w:val="30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Variazioni in aumento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620C46" w:rsidTr="00853320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620C46" w:rsidTr="00853320">
        <w:trPr>
          <w:trHeight w:val="30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Variazioni in diminuzione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20C46" w:rsidTr="00853320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20C46" w:rsidTr="00853320">
        <w:trPr>
          <w:trHeight w:val="300"/>
          <w:jc w:val="center"/>
        </w:trPr>
        <w:tc>
          <w:tcPr>
            <w:tcW w:w="2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620C46" w:rsidRDefault="00620C46" w:rsidP="004D1E5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SPESA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0C46" w:rsidRDefault="00620C46" w:rsidP="004D1E5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Importo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0C46" w:rsidRDefault="00620C46" w:rsidP="004D1E5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Importo</w:t>
            </w:r>
          </w:p>
        </w:tc>
      </w:tr>
      <w:tr w:rsidR="00620C46" w:rsidTr="00853320">
        <w:trPr>
          <w:trHeight w:val="30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Variazioni in aumento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€ </w:t>
            </w:r>
            <w:r w:rsidR="00E84B47">
              <w:rPr>
                <w:color w:val="000000"/>
                <w:sz w:val="16"/>
                <w:szCs w:val="16"/>
              </w:rPr>
              <w:t>15.926,00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620C46" w:rsidTr="00853320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€ </w:t>
            </w:r>
            <w:r w:rsidR="00E84B47">
              <w:rPr>
                <w:color w:val="000000"/>
                <w:sz w:val="16"/>
                <w:szCs w:val="16"/>
              </w:rPr>
              <w:t>15.926,00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620C46" w:rsidTr="00853320">
        <w:trPr>
          <w:trHeight w:val="30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Variazioni in diminuzione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E84B47" w:rsidP="004D1E56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15.926,00</w:t>
            </w:r>
          </w:p>
        </w:tc>
      </w:tr>
      <w:tr w:rsidR="00620C46" w:rsidTr="00853320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E84B47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15.926,00</w:t>
            </w:r>
          </w:p>
        </w:tc>
      </w:tr>
      <w:tr w:rsidR="00620C46" w:rsidTr="00853320">
        <w:trPr>
          <w:trHeight w:val="30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TOTALE A PAREGGIO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0,00</w:t>
            </w:r>
          </w:p>
        </w:tc>
      </w:tr>
      <w:tr w:rsidR="00620C46" w:rsidTr="00853320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4D1E5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B4518" w:rsidTr="00D225A1">
        <w:trPr>
          <w:trHeight w:val="300"/>
          <w:jc w:val="center"/>
        </w:trPr>
        <w:tc>
          <w:tcPr>
            <w:tcW w:w="52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B4518" w:rsidRDefault="00CB4518" w:rsidP="00D225A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</w:tr>
      <w:tr w:rsidR="00CB4518" w:rsidTr="00D225A1">
        <w:trPr>
          <w:trHeight w:val="300"/>
          <w:jc w:val="center"/>
        </w:trPr>
        <w:tc>
          <w:tcPr>
            <w:tcW w:w="2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B4518" w:rsidRDefault="00CB4518" w:rsidP="00D225A1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ENTRATA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518" w:rsidRDefault="00CB4518" w:rsidP="00D225A1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Importo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518" w:rsidRDefault="00CB4518" w:rsidP="00D225A1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Importo</w:t>
            </w:r>
          </w:p>
        </w:tc>
      </w:tr>
      <w:tr w:rsidR="00CB4518" w:rsidTr="00D225A1">
        <w:trPr>
          <w:trHeight w:val="30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518" w:rsidRDefault="00CB4518" w:rsidP="00D225A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Variazioni in aumento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518" w:rsidRDefault="00CB4518" w:rsidP="00D225A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518" w:rsidRDefault="00CB4518" w:rsidP="00D225A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€ </w:t>
            </w:r>
            <w:r w:rsidR="00E84B4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B4518" w:rsidRDefault="00CB4518" w:rsidP="00D225A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B4518" w:rsidTr="00D225A1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518" w:rsidRDefault="00CB4518" w:rsidP="00D225A1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518" w:rsidRDefault="00CB4518" w:rsidP="00D225A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518" w:rsidRDefault="00CB4518" w:rsidP="00D225A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€ </w:t>
            </w:r>
            <w:r w:rsidR="00E84B4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B4518" w:rsidRDefault="00CB4518" w:rsidP="00D225A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B4518" w:rsidTr="00D225A1">
        <w:trPr>
          <w:trHeight w:val="30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518" w:rsidRDefault="00CB4518" w:rsidP="00D225A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Variazioni in diminuzione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518" w:rsidRDefault="00CB4518" w:rsidP="00D225A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B4518" w:rsidRDefault="00CB4518" w:rsidP="00D225A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518" w:rsidRDefault="00E84B47" w:rsidP="00D225A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B4518" w:rsidTr="00D225A1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518" w:rsidRDefault="00CB4518" w:rsidP="00D225A1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518" w:rsidRDefault="00CB4518" w:rsidP="00D225A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B4518" w:rsidRDefault="00CB4518" w:rsidP="00D225A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518" w:rsidRDefault="00E84B47" w:rsidP="00D225A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B4518" w:rsidTr="00D225A1">
        <w:trPr>
          <w:trHeight w:val="300"/>
          <w:jc w:val="center"/>
        </w:trPr>
        <w:tc>
          <w:tcPr>
            <w:tcW w:w="2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CB4518" w:rsidRDefault="00CB4518" w:rsidP="00D225A1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SPESA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B4518" w:rsidRDefault="00CB4518" w:rsidP="00D225A1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Importo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B4518" w:rsidRDefault="00CB4518" w:rsidP="00D225A1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Importo</w:t>
            </w:r>
          </w:p>
        </w:tc>
      </w:tr>
      <w:tr w:rsidR="00CB4518" w:rsidTr="00D225A1">
        <w:trPr>
          <w:trHeight w:val="30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518" w:rsidRDefault="00CB4518" w:rsidP="00D225A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Variazioni in aumento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518" w:rsidRDefault="00CB4518" w:rsidP="00D225A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518" w:rsidRDefault="00CB4518" w:rsidP="00D225A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€ </w:t>
            </w:r>
            <w:r w:rsidR="00E84B47">
              <w:rPr>
                <w:color w:val="000000"/>
                <w:sz w:val="16"/>
                <w:szCs w:val="16"/>
              </w:rPr>
              <w:t>15.926,00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B4518" w:rsidRDefault="00CB4518" w:rsidP="00D225A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B4518" w:rsidTr="00D225A1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518" w:rsidRDefault="00CB4518" w:rsidP="00D225A1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518" w:rsidRDefault="00CB4518" w:rsidP="00D225A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518" w:rsidRDefault="00CB4518" w:rsidP="00D225A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€ </w:t>
            </w:r>
            <w:r w:rsidR="00E84B47">
              <w:rPr>
                <w:color w:val="000000"/>
                <w:sz w:val="16"/>
                <w:szCs w:val="16"/>
              </w:rPr>
              <w:t>15.926,00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B4518" w:rsidRDefault="00CB4518" w:rsidP="00D225A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B4518" w:rsidTr="00D225A1">
        <w:trPr>
          <w:trHeight w:val="30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518" w:rsidRDefault="00CB4518" w:rsidP="00D225A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Variazioni in diminuzione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518" w:rsidRDefault="00CB4518" w:rsidP="00D225A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B4518" w:rsidRDefault="00CB4518" w:rsidP="00D225A1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518" w:rsidRPr="002F711E" w:rsidRDefault="00E84B47" w:rsidP="00D225A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€ 15.926,00</w:t>
            </w:r>
          </w:p>
        </w:tc>
      </w:tr>
      <w:tr w:rsidR="00CB4518" w:rsidTr="00D225A1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518" w:rsidRDefault="00CB4518" w:rsidP="00D225A1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518" w:rsidRDefault="00CB4518" w:rsidP="00D225A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B4518" w:rsidRDefault="00CB4518" w:rsidP="00D225A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518" w:rsidRDefault="00E84B47" w:rsidP="00D225A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€ 15.926,00</w:t>
            </w:r>
          </w:p>
        </w:tc>
      </w:tr>
      <w:tr w:rsidR="00CB4518" w:rsidTr="00D225A1">
        <w:trPr>
          <w:trHeight w:val="30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518" w:rsidRDefault="00CB4518" w:rsidP="00D225A1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TOTALE A PAREGGIO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518" w:rsidRDefault="00CB4518" w:rsidP="00D225A1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518" w:rsidRDefault="00CB4518" w:rsidP="00D225A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518" w:rsidRDefault="00CB4518" w:rsidP="00D225A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0,00</w:t>
            </w:r>
          </w:p>
        </w:tc>
      </w:tr>
      <w:tr w:rsidR="00CB4518" w:rsidTr="00D225A1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518" w:rsidRDefault="00CB4518" w:rsidP="00D225A1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518" w:rsidRDefault="00CB4518" w:rsidP="00D225A1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518" w:rsidRDefault="00CB4518" w:rsidP="00D225A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518" w:rsidRDefault="00CB4518" w:rsidP="00D225A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B4518" w:rsidTr="00CB4518">
        <w:trPr>
          <w:trHeight w:val="300"/>
          <w:jc w:val="center"/>
        </w:trPr>
        <w:tc>
          <w:tcPr>
            <w:tcW w:w="52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CB4518" w:rsidRDefault="00CB4518" w:rsidP="00D225A1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E846B0" w:rsidRDefault="00E846B0" w:rsidP="004D1E56">
      <w:pPr>
        <w:jc w:val="both"/>
        <w:rPr>
          <w:sz w:val="20"/>
        </w:rPr>
      </w:pPr>
    </w:p>
    <w:p w:rsidR="00D873CB" w:rsidRPr="000611AF" w:rsidRDefault="00D873CB" w:rsidP="004D1E56">
      <w:pPr>
        <w:jc w:val="both"/>
        <w:rPr>
          <w:sz w:val="20"/>
        </w:rPr>
      </w:pPr>
      <w:r w:rsidRPr="000611AF">
        <w:rPr>
          <w:sz w:val="20"/>
        </w:rPr>
        <w:t xml:space="preserve">Appurato che, ai sensi dell’articolo 187, comma 2 del </w:t>
      </w:r>
      <w:proofErr w:type="spellStart"/>
      <w:r w:rsidRPr="000611AF">
        <w:rPr>
          <w:sz w:val="20"/>
        </w:rPr>
        <w:t>d.Lgs.</w:t>
      </w:r>
      <w:proofErr w:type="spellEnd"/>
      <w:r w:rsidRPr="000611AF">
        <w:rPr>
          <w:sz w:val="20"/>
        </w:rPr>
        <w:t xml:space="preserve"> n. 267/2000, l’avanzo di amministrazione accertato può essere utilizzato con il seguente ordine di priorità:</w:t>
      </w:r>
    </w:p>
    <w:p w:rsidR="00D873CB" w:rsidRPr="000611AF" w:rsidRDefault="00D873CB" w:rsidP="004D1E56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sz w:val="20"/>
        </w:rPr>
      </w:pPr>
      <w:r w:rsidRPr="000611AF">
        <w:rPr>
          <w:sz w:val="20"/>
        </w:rPr>
        <w:t>per la copertura di debiti fuori bilancio;</w:t>
      </w:r>
    </w:p>
    <w:p w:rsidR="00D873CB" w:rsidRPr="000611AF" w:rsidRDefault="00D873CB" w:rsidP="004D1E56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sz w:val="20"/>
        </w:rPr>
      </w:pPr>
      <w:r w:rsidRPr="000611AF">
        <w:rPr>
          <w:sz w:val="20"/>
        </w:rPr>
        <w:t>per i provvedimenti necessari per la salvaguardia degli equilibri di bilancio di cui all’art. 193, qualora non si possa provvedere con mezzi ordinari;</w:t>
      </w:r>
    </w:p>
    <w:p w:rsidR="00D873CB" w:rsidRPr="000611AF" w:rsidRDefault="00D873CB" w:rsidP="004D1E56">
      <w:pPr>
        <w:numPr>
          <w:ilvl w:val="0"/>
          <w:numId w:val="4"/>
        </w:numPr>
        <w:tabs>
          <w:tab w:val="clear" w:pos="720"/>
        </w:tabs>
        <w:ind w:left="357" w:hanging="357"/>
        <w:jc w:val="both"/>
        <w:rPr>
          <w:sz w:val="20"/>
        </w:rPr>
      </w:pPr>
      <w:r w:rsidRPr="000611AF">
        <w:rPr>
          <w:sz w:val="20"/>
        </w:rPr>
        <w:t>per il finanziamento delle spese di investimento;</w:t>
      </w:r>
    </w:p>
    <w:p w:rsidR="00D873CB" w:rsidRPr="000611AF" w:rsidRDefault="00D873CB" w:rsidP="004D1E56">
      <w:pPr>
        <w:numPr>
          <w:ilvl w:val="0"/>
          <w:numId w:val="4"/>
        </w:numPr>
        <w:tabs>
          <w:tab w:val="clear" w:pos="720"/>
        </w:tabs>
        <w:ind w:left="357" w:hanging="357"/>
        <w:jc w:val="both"/>
        <w:rPr>
          <w:sz w:val="20"/>
        </w:rPr>
      </w:pPr>
      <w:r w:rsidRPr="000611AF">
        <w:rPr>
          <w:sz w:val="20"/>
        </w:rPr>
        <w:t>per il finanziamento di spese correnti a carattere non permanente;</w:t>
      </w:r>
    </w:p>
    <w:p w:rsidR="00D873CB" w:rsidRPr="000611AF" w:rsidRDefault="00D873CB" w:rsidP="004D1E56">
      <w:pPr>
        <w:numPr>
          <w:ilvl w:val="0"/>
          <w:numId w:val="4"/>
        </w:numPr>
        <w:tabs>
          <w:tab w:val="clear" w:pos="720"/>
        </w:tabs>
        <w:ind w:left="357" w:hanging="357"/>
        <w:jc w:val="both"/>
        <w:rPr>
          <w:sz w:val="20"/>
        </w:rPr>
      </w:pPr>
      <w:r w:rsidRPr="000611AF">
        <w:rPr>
          <w:sz w:val="20"/>
        </w:rPr>
        <w:t>per l’estinzione anticipata di prestiti;</w:t>
      </w:r>
    </w:p>
    <w:p w:rsidR="00980E4B" w:rsidRPr="000611AF" w:rsidRDefault="00980E4B" w:rsidP="004D1E56">
      <w:pPr>
        <w:jc w:val="both"/>
        <w:rPr>
          <w:sz w:val="20"/>
          <w:szCs w:val="20"/>
        </w:rPr>
      </w:pPr>
    </w:p>
    <w:p w:rsidR="009931FA" w:rsidRPr="000611AF" w:rsidRDefault="009931FA" w:rsidP="004D1E56">
      <w:pPr>
        <w:pStyle w:val="Corpodeltesto"/>
        <w:spacing w:after="0"/>
        <w:ind w:left="357" w:hanging="357"/>
        <w:jc w:val="both"/>
        <w:rPr>
          <w:sz w:val="20"/>
        </w:rPr>
      </w:pPr>
      <w:r w:rsidRPr="000611AF">
        <w:rPr>
          <w:sz w:val="20"/>
        </w:rPr>
        <w:t>Preso atto che:</w:t>
      </w:r>
    </w:p>
    <w:p w:rsidR="009931FA" w:rsidRPr="000611AF" w:rsidRDefault="009931FA" w:rsidP="004D1E56">
      <w:pPr>
        <w:numPr>
          <w:ilvl w:val="0"/>
          <w:numId w:val="5"/>
        </w:numPr>
        <w:jc w:val="both"/>
        <w:rPr>
          <w:sz w:val="20"/>
        </w:rPr>
      </w:pPr>
      <w:r w:rsidRPr="000611AF">
        <w:rPr>
          <w:sz w:val="20"/>
        </w:rPr>
        <w:t>ai sensi del comma 3-bis dell’articolo 187, è vietato utilizzare l’avanzo di amministrazione nel caso in cui l’ente faccia ricorso all’anticipazione di tesoreria ovvero utilizzi in termini di cassa entrate aventi specifica destinazione;</w:t>
      </w:r>
    </w:p>
    <w:p w:rsidR="00362B59" w:rsidRDefault="00362B59" w:rsidP="004D1E56">
      <w:pPr>
        <w:jc w:val="both"/>
        <w:rPr>
          <w:sz w:val="20"/>
          <w:szCs w:val="20"/>
        </w:rPr>
      </w:pPr>
      <w:r w:rsidRPr="000611AF">
        <w:rPr>
          <w:sz w:val="20"/>
          <w:szCs w:val="20"/>
        </w:rPr>
        <w:t>Vista la documentazione acquisita agli atti dell’ufficio;</w:t>
      </w:r>
    </w:p>
    <w:p w:rsidR="002F711E" w:rsidRDefault="002F711E" w:rsidP="004D1E56">
      <w:pPr>
        <w:jc w:val="both"/>
        <w:rPr>
          <w:sz w:val="20"/>
          <w:szCs w:val="20"/>
        </w:rPr>
      </w:pPr>
    </w:p>
    <w:p w:rsidR="002F711E" w:rsidRPr="000611AF" w:rsidRDefault="002F711E" w:rsidP="004D1E5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Atteso che non sono stati evidenziati debiti fuori bilancio da finanziare;</w:t>
      </w:r>
    </w:p>
    <w:p w:rsidR="00362B59" w:rsidRPr="000611AF" w:rsidRDefault="00362B59" w:rsidP="004D1E56">
      <w:pPr>
        <w:jc w:val="both"/>
        <w:rPr>
          <w:sz w:val="20"/>
          <w:szCs w:val="20"/>
        </w:rPr>
      </w:pPr>
    </w:p>
    <w:p w:rsidR="00362B59" w:rsidRPr="000611AF" w:rsidRDefault="00362B59" w:rsidP="004D1E56">
      <w:pPr>
        <w:jc w:val="both"/>
        <w:rPr>
          <w:sz w:val="20"/>
          <w:szCs w:val="20"/>
        </w:rPr>
      </w:pPr>
      <w:r w:rsidRPr="000611AF">
        <w:rPr>
          <w:sz w:val="20"/>
          <w:szCs w:val="20"/>
        </w:rPr>
        <w:t xml:space="preserve">Visto il parere del responsabile del servizio finanziario rilasciato ai sensi dell’art. 153, comma 4, del </w:t>
      </w:r>
      <w:proofErr w:type="spellStart"/>
      <w:r w:rsidRPr="000611AF">
        <w:rPr>
          <w:sz w:val="20"/>
          <w:szCs w:val="20"/>
        </w:rPr>
        <w:t>D.Lgs.</w:t>
      </w:r>
      <w:proofErr w:type="spellEnd"/>
      <w:r w:rsidRPr="000611AF">
        <w:rPr>
          <w:sz w:val="20"/>
          <w:szCs w:val="20"/>
        </w:rPr>
        <w:t xml:space="preserve"> n. 267/00;</w:t>
      </w:r>
    </w:p>
    <w:p w:rsidR="004874D1" w:rsidRPr="000611AF" w:rsidRDefault="004874D1" w:rsidP="004D1E56">
      <w:pPr>
        <w:jc w:val="both"/>
        <w:rPr>
          <w:sz w:val="20"/>
          <w:szCs w:val="20"/>
        </w:rPr>
      </w:pPr>
    </w:p>
    <w:p w:rsidR="00823578" w:rsidRPr="000611AF" w:rsidRDefault="00823578" w:rsidP="00DD3754">
      <w:pPr>
        <w:pStyle w:val="Titolo1"/>
        <w:rPr>
          <w:sz w:val="20"/>
          <w:szCs w:val="20"/>
        </w:rPr>
      </w:pPr>
      <w:r w:rsidRPr="000611AF">
        <w:rPr>
          <w:sz w:val="20"/>
          <w:szCs w:val="20"/>
        </w:rPr>
        <w:t>OSSERVATO</w:t>
      </w:r>
    </w:p>
    <w:p w:rsidR="00823578" w:rsidRPr="000611AF" w:rsidRDefault="00823578" w:rsidP="004D1E56">
      <w:pPr>
        <w:jc w:val="both"/>
        <w:rPr>
          <w:sz w:val="20"/>
          <w:szCs w:val="20"/>
        </w:rPr>
      </w:pPr>
    </w:p>
    <w:p w:rsidR="00823578" w:rsidRPr="000611AF" w:rsidRDefault="00823578" w:rsidP="004D1E56">
      <w:pPr>
        <w:jc w:val="both"/>
        <w:rPr>
          <w:sz w:val="20"/>
          <w:szCs w:val="20"/>
        </w:rPr>
      </w:pPr>
      <w:r w:rsidRPr="000611AF">
        <w:rPr>
          <w:sz w:val="20"/>
          <w:szCs w:val="20"/>
        </w:rPr>
        <w:t>in relazione alla congruità, coerenza e attendibilità contabile delle previsioni:</w:t>
      </w:r>
    </w:p>
    <w:p w:rsidR="00823578" w:rsidRPr="000611AF" w:rsidRDefault="00823578" w:rsidP="004D1E56">
      <w:pPr>
        <w:numPr>
          <w:ilvl w:val="0"/>
          <w:numId w:val="7"/>
        </w:numPr>
        <w:jc w:val="both"/>
        <w:rPr>
          <w:sz w:val="20"/>
          <w:szCs w:val="20"/>
        </w:rPr>
      </w:pPr>
      <w:r w:rsidRPr="000611AF">
        <w:rPr>
          <w:sz w:val="20"/>
          <w:szCs w:val="20"/>
        </w:rPr>
        <w:t>che le variazioni di spesa sono compatibili con le esigenze dei singoli servizi;</w:t>
      </w:r>
    </w:p>
    <w:p w:rsidR="00823578" w:rsidRPr="000611AF" w:rsidRDefault="00823578" w:rsidP="004D1E56">
      <w:pPr>
        <w:jc w:val="both"/>
        <w:rPr>
          <w:sz w:val="20"/>
          <w:szCs w:val="20"/>
        </w:rPr>
      </w:pPr>
    </w:p>
    <w:p w:rsidR="00823578" w:rsidRPr="000611AF" w:rsidRDefault="00823578" w:rsidP="004D1E56">
      <w:pPr>
        <w:jc w:val="both"/>
        <w:rPr>
          <w:sz w:val="20"/>
          <w:szCs w:val="20"/>
        </w:rPr>
      </w:pPr>
      <w:r w:rsidRPr="000611AF">
        <w:rPr>
          <w:sz w:val="20"/>
          <w:szCs w:val="20"/>
        </w:rPr>
        <w:t xml:space="preserve">in relazione al rispetto dell’articolo 187, comma 3-bis, del </w:t>
      </w:r>
      <w:proofErr w:type="spellStart"/>
      <w:r w:rsidRPr="000611AF">
        <w:rPr>
          <w:sz w:val="20"/>
          <w:szCs w:val="20"/>
        </w:rPr>
        <w:t>Tuel</w:t>
      </w:r>
      <w:proofErr w:type="spellEnd"/>
      <w:r w:rsidRPr="000611AF">
        <w:rPr>
          <w:sz w:val="20"/>
          <w:szCs w:val="20"/>
        </w:rPr>
        <w:t>:</w:t>
      </w:r>
    </w:p>
    <w:p w:rsidR="00823578" w:rsidRPr="000611AF" w:rsidRDefault="00823578" w:rsidP="004D1E56">
      <w:pPr>
        <w:numPr>
          <w:ilvl w:val="0"/>
          <w:numId w:val="6"/>
        </w:numPr>
        <w:spacing w:line="320" w:lineRule="atLeast"/>
        <w:jc w:val="both"/>
        <w:rPr>
          <w:sz w:val="20"/>
          <w:szCs w:val="20"/>
        </w:rPr>
      </w:pPr>
      <w:r w:rsidRPr="000611AF">
        <w:rPr>
          <w:sz w:val="20"/>
          <w:szCs w:val="20"/>
        </w:rPr>
        <w:t>non trovandosi l’ente in anticipazione di tesoreria ovvero non utilizzando in termini di cassa entrate aventi specifica destinazione, sussistono le condizioni per l’utilizzo dell’avanzo di amministrazione non vincolato;</w:t>
      </w:r>
    </w:p>
    <w:p w:rsidR="00823578" w:rsidRPr="000611AF" w:rsidRDefault="00823578" w:rsidP="004D1E56">
      <w:pPr>
        <w:spacing w:line="320" w:lineRule="atLeast"/>
        <w:ind w:left="720"/>
        <w:jc w:val="both"/>
        <w:rPr>
          <w:sz w:val="20"/>
          <w:szCs w:val="20"/>
        </w:rPr>
      </w:pPr>
    </w:p>
    <w:p w:rsidR="00823578" w:rsidRPr="000611AF" w:rsidRDefault="00823578" w:rsidP="004D1E56">
      <w:pPr>
        <w:spacing w:line="320" w:lineRule="atLeast"/>
        <w:jc w:val="both"/>
        <w:rPr>
          <w:sz w:val="20"/>
          <w:szCs w:val="20"/>
        </w:rPr>
      </w:pPr>
      <w:r w:rsidRPr="000611AF">
        <w:rPr>
          <w:sz w:val="20"/>
          <w:szCs w:val="20"/>
        </w:rPr>
        <w:lastRenderedPageBreak/>
        <w:t>in relazione ai vincoli di finanza pubblica:</w:t>
      </w:r>
    </w:p>
    <w:p w:rsidR="00823578" w:rsidRPr="000611AF" w:rsidRDefault="00823578" w:rsidP="004D1E56">
      <w:pPr>
        <w:numPr>
          <w:ilvl w:val="0"/>
          <w:numId w:val="8"/>
        </w:numPr>
        <w:jc w:val="both"/>
        <w:rPr>
          <w:sz w:val="20"/>
          <w:szCs w:val="20"/>
        </w:rPr>
      </w:pPr>
      <w:r w:rsidRPr="000611AF">
        <w:rPr>
          <w:sz w:val="20"/>
          <w:szCs w:val="20"/>
        </w:rPr>
        <w:t xml:space="preserve">si </w:t>
      </w:r>
      <w:proofErr w:type="spellStart"/>
      <w:r w:rsidR="002D5780" w:rsidRPr="000611AF">
        <w:rPr>
          <w:sz w:val="20"/>
          <w:szCs w:val="20"/>
        </w:rPr>
        <w:t>dà</w:t>
      </w:r>
      <w:r w:rsidRPr="000611AF">
        <w:rPr>
          <w:sz w:val="20"/>
        </w:rPr>
        <w:t>atto</w:t>
      </w:r>
      <w:proofErr w:type="spellEnd"/>
      <w:r w:rsidRPr="000611AF">
        <w:rPr>
          <w:sz w:val="20"/>
        </w:rPr>
        <w:t xml:space="preserve"> del permanere degli equilibri di bilancio nonché del rispetto dei vincoli di finanza pubblica</w:t>
      </w:r>
    </w:p>
    <w:p w:rsidR="00823578" w:rsidRPr="000611AF" w:rsidRDefault="00823578" w:rsidP="004D1E56">
      <w:pPr>
        <w:jc w:val="both"/>
        <w:rPr>
          <w:sz w:val="20"/>
          <w:szCs w:val="20"/>
        </w:rPr>
      </w:pPr>
    </w:p>
    <w:p w:rsidR="00823578" w:rsidRPr="000611AF" w:rsidRDefault="00823578" w:rsidP="004D1E56">
      <w:pPr>
        <w:jc w:val="both"/>
        <w:rPr>
          <w:sz w:val="20"/>
          <w:szCs w:val="20"/>
        </w:rPr>
      </w:pPr>
      <w:r w:rsidRPr="000611AF">
        <w:rPr>
          <w:sz w:val="20"/>
          <w:szCs w:val="20"/>
        </w:rPr>
        <w:t xml:space="preserve">Visto il </w:t>
      </w:r>
      <w:proofErr w:type="spellStart"/>
      <w:r w:rsidRPr="000611AF">
        <w:rPr>
          <w:sz w:val="20"/>
          <w:szCs w:val="20"/>
        </w:rPr>
        <w:t>D.Lgs.</w:t>
      </w:r>
      <w:proofErr w:type="spellEnd"/>
      <w:r w:rsidRPr="000611AF">
        <w:rPr>
          <w:sz w:val="20"/>
          <w:szCs w:val="20"/>
        </w:rPr>
        <w:t xml:space="preserve"> n. 267/2000;</w:t>
      </w:r>
    </w:p>
    <w:p w:rsidR="00823578" w:rsidRPr="000611AF" w:rsidRDefault="00823578" w:rsidP="004D1E56">
      <w:pPr>
        <w:jc w:val="both"/>
        <w:rPr>
          <w:sz w:val="20"/>
          <w:szCs w:val="20"/>
        </w:rPr>
      </w:pPr>
      <w:r w:rsidRPr="000611AF">
        <w:rPr>
          <w:sz w:val="20"/>
          <w:szCs w:val="20"/>
        </w:rPr>
        <w:t xml:space="preserve">Visto il </w:t>
      </w:r>
      <w:proofErr w:type="spellStart"/>
      <w:r w:rsidRPr="000611AF">
        <w:rPr>
          <w:sz w:val="20"/>
          <w:szCs w:val="20"/>
        </w:rPr>
        <w:t>D.Lgs.</w:t>
      </w:r>
      <w:proofErr w:type="spellEnd"/>
      <w:r w:rsidRPr="000611AF">
        <w:rPr>
          <w:sz w:val="20"/>
          <w:szCs w:val="20"/>
        </w:rPr>
        <w:t xml:space="preserve"> n. 118/2011;</w:t>
      </w:r>
    </w:p>
    <w:p w:rsidR="00823578" w:rsidRPr="000611AF" w:rsidRDefault="00823578" w:rsidP="004D1E56">
      <w:pPr>
        <w:jc w:val="both"/>
        <w:rPr>
          <w:sz w:val="20"/>
          <w:szCs w:val="20"/>
        </w:rPr>
      </w:pPr>
      <w:r w:rsidRPr="000611AF">
        <w:rPr>
          <w:sz w:val="20"/>
          <w:szCs w:val="20"/>
        </w:rPr>
        <w:t>Visto lo Statuto Comunale;</w:t>
      </w:r>
    </w:p>
    <w:p w:rsidR="00823578" w:rsidRPr="000611AF" w:rsidRDefault="00823578" w:rsidP="004D1E56">
      <w:pPr>
        <w:jc w:val="both"/>
        <w:rPr>
          <w:sz w:val="20"/>
          <w:szCs w:val="20"/>
        </w:rPr>
      </w:pPr>
      <w:r w:rsidRPr="000611AF">
        <w:rPr>
          <w:sz w:val="20"/>
          <w:szCs w:val="20"/>
        </w:rPr>
        <w:t>Visto il vigente Regolamento comunale di contabilità;</w:t>
      </w:r>
    </w:p>
    <w:p w:rsidR="004874D1" w:rsidRPr="000611AF" w:rsidRDefault="004874D1" w:rsidP="004D1E56">
      <w:pPr>
        <w:jc w:val="both"/>
        <w:rPr>
          <w:sz w:val="20"/>
          <w:szCs w:val="20"/>
        </w:rPr>
      </w:pPr>
    </w:p>
    <w:p w:rsidR="00823578" w:rsidRPr="000611AF" w:rsidRDefault="00823578" w:rsidP="004D1E56">
      <w:pPr>
        <w:pStyle w:val="Titolo2"/>
        <w:jc w:val="both"/>
        <w:rPr>
          <w:b/>
          <w:bCs/>
          <w:i w:val="0"/>
          <w:iCs w:val="0"/>
          <w:sz w:val="20"/>
          <w:szCs w:val="20"/>
        </w:rPr>
      </w:pPr>
      <w:r w:rsidRPr="000611AF">
        <w:rPr>
          <w:b/>
          <w:bCs/>
          <w:i w:val="0"/>
          <w:iCs w:val="0"/>
          <w:sz w:val="20"/>
          <w:szCs w:val="20"/>
        </w:rPr>
        <w:t>ESPRIME</w:t>
      </w:r>
    </w:p>
    <w:p w:rsidR="00823578" w:rsidRPr="000611AF" w:rsidRDefault="00823578" w:rsidP="004D1E56">
      <w:pPr>
        <w:jc w:val="both"/>
        <w:rPr>
          <w:sz w:val="20"/>
          <w:szCs w:val="20"/>
        </w:rPr>
      </w:pPr>
    </w:p>
    <w:p w:rsidR="00823578" w:rsidRPr="000611AF" w:rsidRDefault="00823578" w:rsidP="004D1E56">
      <w:pPr>
        <w:jc w:val="both"/>
        <w:rPr>
          <w:sz w:val="20"/>
          <w:szCs w:val="20"/>
        </w:rPr>
      </w:pPr>
      <w:r w:rsidRPr="000611AF">
        <w:rPr>
          <w:sz w:val="20"/>
          <w:szCs w:val="20"/>
        </w:rPr>
        <w:t xml:space="preserve">parere </w:t>
      </w:r>
      <w:r w:rsidRPr="000611AF">
        <w:rPr>
          <w:sz w:val="20"/>
          <w:szCs w:val="20"/>
          <w:u w:val="single"/>
        </w:rPr>
        <w:t xml:space="preserve">   FAVOREVOLE       </w:t>
      </w:r>
      <w:r w:rsidRPr="000611AF">
        <w:rPr>
          <w:sz w:val="20"/>
          <w:szCs w:val="20"/>
        </w:rPr>
        <w:t xml:space="preserve">  sulla proposta di deliberazione in oggetto.</w:t>
      </w:r>
    </w:p>
    <w:p w:rsidR="0098131A" w:rsidRPr="000611AF" w:rsidRDefault="0098131A" w:rsidP="004D1E56">
      <w:pPr>
        <w:jc w:val="both"/>
        <w:rPr>
          <w:sz w:val="20"/>
          <w:szCs w:val="20"/>
        </w:rPr>
      </w:pPr>
    </w:p>
    <w:p w:rsidR="0098131A" w:rsidRPr="000611AF" w:rsidRDefault="0098131A" w:rsidP="004D1E56">
      <w:pPr>
        <w:jc w:val="right"/>
        <w:rPr>
          <w:sz w:val="20"/>
          <w:szCs w:val="20"/>
        </w:rPr>
      </w:pPr>
      <w:r w:rsidRPr="000611AF">
        <w:rPr>
          <w:sz w:val="20"/>
          <w:szCs w:val="20"/>
        </w:rPr>
        <w:t>Il Revisore</w:t>
      </w:r>
    </w:p>
    <w:p w:rsidR="000611AF" w:rsidRPr="000611AF" w:rsidRDefault="000611AF" w:rsidP="004D1E56">
      <w:pPr>
        <w:jc w:val="right"/>
        <w:rPr>
          <w:sz w:val="20"/>
          <w:szCs w:val="20"/>
        </w:rPr>
      </w:pPr>
      <w:r w:rsidRPr="000611AF">
        <w:rPr>
          <w:sz w:val="20"/>
          <w:szCs w:val="20"/>
        </w:rPr>
        <w:t>D</w:t>
      </w:r>
      <w:r w:rsidR="0037198B">
        <w:rPr>
          <w:sz w:val="20"/>
          <w:szCs w:val="20"/>
        </w:rPr>
        <w:t>ott</w:t>
      </w:r>
      <w:r w:rsidRPr="000611AF">
        <w:rPr>
          <w:sz w:val="20"/>
          <w:szCs w:val="20"/>
        </w:rPr>
        <w:t xml:space="preserve">.ssa </w:t>
      </w:r>
      <w:proofErr w:type="spellStart"/>
      <w:r w:rsidRPr="000611AF">
        <w:rPr>
          <w:sz w:val="20"/>
          <w:szCs w:val="20"/>
        </w:rPr>
        <w:t>Nicolina</w:t>
      </w:r>
      <w:proofErr w:type="spellEnd"/>
      <w:r w:rsidRPr="000611AF">
        <w:rPr>
          <w:sz w:val="20"/>
          <w:szCs w:val="20"/>
        </w:rPr>
        <w:t xml:space="preserve"> </w:t>
      </w:r>
      <w:proofErr w:type="spellStart"/>
      <w:r w:rsidRPr="000611AF">
        <w:rPr>
          <w:sz w:val="20"/>
          <w:szCs w:val="20"/>
        </w:rPr>
        <w:t>Cattari</w:t>
      </w:r>
      <w:proofErr w:type="spellEnd"/>
    </w:p>
    <w:p w:rsidR="000611AF" w:rsidRPr="000611AF" w:rsidRDefault="001F123B" w:rsidP="004D1E56">
      <w:pPr>
        <w:jc w:val="right"/>
        <w:rPr>
          <w:sz w:val="20"/>
          <w:szCs w:val="20"/>
        </w:rPr>
      </w:pPr>
      <w:r w:rsidRPr="001F123B">
        <w:rPr>
          <w:noProof/>
          <w:sz w:val="20"/>
          <w:szCs w:val="20"/>
        </w:rPr>
        <w:drawing>
          <wp:inline distT="0" distB="0" distL="0" distR="0">
            <wp:extent cx="1445342" cy="712136"/>
            <wp:effectExtent l="19050" t="0" r="2458" b="0"/>
            <wp:docPr id="1" name="Immagine 1" descr="F:\22.11.2013\fallimento\firma%20nicolin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F:\22.11.2013\fallimento\firma%20nicolin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523" cy="71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11AF" w:rsidRPr="000611AF" w:rsidSect="00E846B0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549" w:rsidRDefault="00223549" w:rsidP="00A42233">
      <w:r>
        <w:separator/>
      </w:r>
    </w:p>
  </w:endnote>
  <w:endnote w:type="continuationSeparator" w:id="1">
    <w:p w:rsidR="00223549" w:rsidRDefault="00223549" w:rsidP="00A422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549" w:rsidRDefault="00223549" w:rsidP="00A42233">
      <w:r>
        <w:separator/>
      </w:r>
    </w:p>
  </w:footnote>
  <w:footnote w:type="continuationSeparator" w:id="1">
    <w:p w:rsidR="00223549" w:rsidRDefault="00223549" w:rsidP="00A422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3868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Wingdings" w:cs="Wingdings"/>
        <w:sz w:val="20"/>
      </w:rPr>
    </w:lvl>
  </w:abstractNum>
  <w:abstractNum w:abstractNumId="3">
    <w:nsid w:val="00000004"/>
    <w:multiLevelType w:val="singleLevel"/>
    <w:tmpl w:val="00000004"/>
    <w:name w:val="WW8Num5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17"/>
        </w:tabs>
        <w:ind w:left="703" w:hanging="346"/>
      </w:pPr>
      <w:rPr>
        <w:rFonts w:ascii="Symbol" w:hAnsi="Symbol" w:cs="Symbol" w:hint="default"/>
      </w:rPr>
    </w:lvl>
  </w:abstractNum>
  <w:abstractNum w:abstractNumId="5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17"/>
        </w:tabs>
        <w:ind w:left="703" w:hanging="346"/>
      </w:pPr>
      <w:rPr>
        <w:rFonts w:ascii="Symbol" w:hAnsi="Symbol" w:cs="Symbol" w:hint="default"/>
        <w:sz w:val="20"/>
        <w:szCs w:val="20"/>
      </w:rPr>
    </w:lvl>
  </w:abstractNum>
  <w:abstractNum w:abstractNumId="6">
    <w:nsid w:val="06BF6C11"/>
    <w:multiLevelType w:val="hybridMultilevel"/>
    <w:tmpl w:val="3358FD7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8E7E58"/>
    <w:multiLevelType w:val="hybridMultilevel"/>
    <w:tmpl w:val="8DB60A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A76FC6"/>
    <w:multiLevelType w:val="hybridMultilevel"/>
    <w:tmpl w:val="0C36D82E"/>
    <w:lvl w:ilvl="0" w:tplc="6C8A5E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61005D"/>
    <w:multiLevelType w:val="hybridMultilevel"/>
    <w:tmpl w:val="60FE6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2C4B97"/>
    <w:multiLevelType w:val="hybridMultilevel"/>
    <w:tmpl w:val="49A4A5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8B425C"/>
    <w:multiLevelType w:val="hybridMultilevel"/>
    <w:tmpl w:val="9E48BCE0"/>
    <w:lvl w:ilvl="0" w:tplc="5DAAC8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6777E5"/>
    <w:multiLevelType w:val="hybridMultilevel"/>
    <w:tmpl w:val="CF3812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811E12"/>
    <w:multiLevelType w:val="hybridMultilevel"/>
    <w:tmpl w:val="EE1E8B6E"/>
    <w:lvl w:ilvl="0" w:tplc="B56C8E62">
      <w:start w:val="7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C970A8"/>
    <w:multiLevelType w:val="hybridMultilevel"/>
    <w:tmpl w:val="79F08D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6139F6"/>
    <w:multiLevelType w:val="hybridMultilevel"/>
    <w:tmpl w:val="C584FB6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59611A"/>
    <w:multiLevelType w:val="hybridMultilevel"/>
    <w:tmpl w:val="FF02967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0"/>
  </w:num>
  <w:num w:numId="4">
    <w:abstractNumId w:val="16"/>
  </w:num>
  <w:num w:numId="5">
    <w:abstractNumId w:val="9"/>
  </w:num>
  <w:num w:numId="6">
    <w:abstractNumId w:val="6"/>
  </w:num>
  <w:num w:numId="7">
    <w:abstractNumId w:val="10"/>
  </w:num>
  <w:num w:numId="8">
    <w:abstractNumId w:val="7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5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</w:num>
  <w:num w:numId="15">
    <w:abstractNumId w:val="3"/>
    <w:lvlOverride w:ilvl="0">
      <w:startOverride w:val="3"/>
    </w:lvlOverride>
  </w:num>
  <w:num w:numId="16">
    <w:abstractNumId w:val="8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12DD"/>
    <w:rsid w:val="000138C1"/>
    <w:rsid w:val="000320B2"/>
    <w:rsid w:val="000611AF"/>
    <w:rsid w:val="000F2DBE"/>
    <w:rsid w:val="000F561E"/>
    <w:rsid w:val="001A00BF"/>
    <w:rsid w:val="001F123B"/>
    <w:rsid w:val="0021597D"/>
    <w:rsid w:val="00223549"/>
    <w:rsid w:val="002D5780"/>
    <w:rsid w:val="002D6F4B"/>
    <w:rsid w:val="002F711E"/>
    <w:rsid w:val="00350C47"/>
    <w:rsid w:val="00362B59"/>
    <w:rsid w:val="0037198B"/>
    <w:rsid w:val="004159A3"/>
    <w:rsid w:val="00463043"/>
    <w:rsid w:val="004874D1"/>
    <w:rsid w:val="00493F10"/>
    <w:rsid w:val="004953A0"/>
    <w:rsid w:val="004B23C8"/>
    <w:rsid w:val="004C4DD4"/>
    <w:rsid w:val="004D1E56"/>
    <w:rsid w:val="005033EA"/>
    <w:rsid w:val="00507143"/>
    <w:rsid w:val="00523CED"/>
    <w:rsid w:val="00535D37"/>
    <w:rsid w:val="005565CE"/>
    <w:rsid w:val="0056470C"/>
    <w:rsid w:val="00567CF4"/>
    <w:rsid w:val="005A5833"/>
    <w:rsid w:val="00610FF6"/>
    <w:rsid w:val="00620C46"/>
    <w:rsid w:val="006447F7"/>
    <w:rsid w:val="006A77D8"/>
    <w:rsid w:val="00707FFE"/>
    <w:rsid w:val="007104F4"/>
    <w:rsid w:val="00734822"/>
    <w:rsid w:val="0077750E"/>
    <w:rsid w:val="007E450A"/>
    <w:rsid w:val="0082080C"/>
    <w:rsid w:val="00823578"/>
    <w:rsid w:val="00864F76"/>
    <w:rsid w:val="008822FF"/>
    <w:rsid w:val="008F0159"/>
    <w:rsid w:val="0090144F"/>
    <w:rsid w:val="00902FF4"/>
    <w:rsid w:val="00980E4B"/>
    <w:rsid w:val="0098131A"/>
    <w:rsid w:val="009931FA"/>
    <w:rsid w:val="009C7E19"/>
    <w:rsid w:val="00A05225"/>
    <w:rsid w:val="00A42233"/>
    <w:rsid w:val="00A63DCE"/>
    <w:rsid w:val="00A77FCB"/>
    <w:rsid w:val="00A95906"/>
    <w:rsid w:val="00AD70CB"/>
    <w:rsid w:val="00B257FA"/>
    <w:rsid w:val="00B912DD"/>
    <w:rsid w:val="00BE70CF"/>
    <w:rsid w:val="00BF0651"/>
    <w:rsid w:val="00C670A0"/>
    <w:rsid w:val="00C84F6F"/>
    <w:rsid w:val="00C911A4"/>
    <w:rsid w:val="00CB4518"/>
    <w:rsid w:val="00CF7509"/>
    <w:rsid w:val="00D54545"/>
    <w:rsid w:val="00D611D9"/>
    <w:rsid w:val="00D873CB"/>
    <w:rsid w:val="00D934B5"/>
    <w:rsid w:val="00DA4573"/>
    <w:rsid w:val="00DB64AA"/>
    <w:rsid w:val="00DD3754"/>
    <w:rsid w:val="00DD3DA9"/>
    <w:rsid w:val="00DE0EBA"/>
    <w:rsid w:val="00DF0A70"/>
    <w:rsid w:val="00E018E1"/>
    <w:rsid w:val="00E446C3"/>
    <w:rsid w:val="00E544DC"/>
    <w:rsid w:val="00E663B7"/>
    <w:rsid w:val="00E846B0"/>
    <w:rsid w:val="00E84B47"/>
    <w:rsid w:val="00E94930"/>
    <w:rsid w:val="00EB5208"/>
    <w:rsid w:val="00EC2136"/>
    <w:rsid w:val="00EC6C2C"/>
    <w:rsid w:val="00EE7350"/>
    <w:rsid w:val="00EF0DDA"/>
    <w:rsid w:val="00F02D6F"/>
    <w:rsid w:val="00F05AC7"/>
    <w:rsid w:val="00F12A84"/>
    <w:rsid w:val="00F14733"/>
    <w:rsid w:val="00F84DE4"/>
    <w:rsid w:val="00FB3536"/>
    <w:rsid w:val="00FB43BB"/>
    <w:rsid w:val="00FB7A1E"/>
    <w:rsid w:val="00FE797D"/>
    <w:rsid w:val="00FE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5225"/>
    <w:rPr>
      <w:sz w:val="24"/>
      <w:szCs w:val="24"/>
    </w:rPr>
  </w:style>
  <w:style w:type="paragraph" w:styleId="Titolo1">
    <w:name w:val="heading 1"/>
    <w:basedOn w:val="Normale"/>
    <w:next w:val="Normale"/>
    <w:qFormat/>
    <w:rsid w:val="00A05225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A05225"/>
    <w:pPr>
      <w:keepNext/>
      <w:jc w:val="center"/>
      <w:outlineLvl w:val="1"/>
    </w:pPr>
    <w:rPr>
      <w:i/>
      <w:iCs/>
    </w:rPr>
  </w:style>
  <w:style w:type="paragraph" w:styleId="Titolo3">
    <w:name w:val="heading 3"/>
    <w:basedOn w:val="Normale"/>
    <w:next w:val="Normale"/>
    <w:qFormat/>
    <w:rsid w:val="00A05225"/>
    <w:pPr>
      <w:keepNext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A05225"/>
    <w:pPr>
      <w:keepNext/>
      <w:spacing w:line="360" w:lineRule="auto"/>
      <w:jc w:val="both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semiHidden/>
    <w:rsid w:val="00A05225"/>
    <w:pPr>
      <w:jc w:val="both"/>
    </w:pPr>
  </w:style>
  <w:style w:type="paragraph" w:styleId="Didascalia">
    <w:name w:val="caption"/>
    <w:basedOn w:val="Normale"/>
    <w:next w:val="Normale"/>
    <w:qFormat/>
    <w:rsid w:val="00A05225"/>
    <w:pPr>
      <w:spacing w:line="360" w:lineRule="auto"/>
      <w:jc w:val="both"/>
    </w:pPr>
    <w:rPr>
      <w:b/>
      <w:bCs/>
    </w:rPr>
  </w:style>
  <w:style w:type="character" w:customStyle="1" w:styleId="provvnumart">
    <w:name w:val="provv_numart"/>
    <w:rsid w:val="009C7E1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422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4223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422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42233"/>
    <w:rPr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9931FA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9931F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0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0BF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1A00BF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BF0651"/>
    <w:pPr>
      <w:ind w:left="720"/>
      <w:contextualSpacing/>
    </w:pPr>
  </w:style>
  <w:style w:type="paragraph" w:customStyle="1" w:styleId="Default">
    <w:name w:val="Default"/>
    <w:rsid w:val="00DF0A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889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________________________________________________</vt:lpstr>
    </vt:vector>
  </TitlesOfParts>
  <Company/>
  <LinksUpToDate>false</LinksUpToDate>
  <CharactersWithSpaces>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________________________________________________</dc:title>
  <dc:creator>Luca Vannoni</dc:creator>
  <cp:lastModifiedBy>segreteria</cp:lastModifiedBy>
  <cp:revision>2</cp:revision>
  <dcterms:created xsi:type="dcterms:W3CDTF">2025-05-20T07:10:00Z</dcterms:created>
  <dcterms:modified xsi:type="dcterms:W3CDTF">2025-05-20T07:10:00Z</dcterms:modified>
</cp:coreProperties>
</file>